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AC4" w:rsidRPr="00EA4C6C" w:rsidRDefault="00EA4C6C" w:rsidP="00EA4C6C">
      <w:pPr>
        <w:pStyle w:val="Default"/>
        <w:spacing w:line="276" w:lineRule="auto"/>
        <w:jc w:val="right"/>
        <w:rPr>
          <w:color w:val="00000A"/>
        </w:rPr>
      </w:pPr>
      <w:bookmarkStart w:id="0" w:name="_GoBack"/>
      <w:bookmarkEnd w:id="0"/>
      <w:r w:rsidRPr="00EA4C6C">
        <w:rPr>
          <w:color w:val="00000A"/>
        </w:rPr>
        <w:t xml:space="preserve">Warszawa, dnia </w:t>
      </w:r>
      <w:r w:rsidR="00D92499">
        <w:rPr>
          <w:color w:val="00000A"/>
        </w:rPr>
        <w:t>9</w:t>
      </w:r>
      <w:r w:rsidR="003E3565" w:rsidRPr="00EA4C6C">
        <w:rPr>
          <w:color w:val="00000A"/>
        </w:rPr>
        <w:t xml:space="preserve"> </w:t>
      </w:r>
      <w:r w:rsidR="00D92499">
        <w:rPr>
          <w:color w:val="00000A"/>
        </w:rPr>
        <w:t>lipca</w:t>
      </w:r>
      <w:r w:rsidR="003E3565" w:rsidRPr="00EA4C6C">
        <w:rPr>
          <w:color w:val="00000A"/>
        </w:rPr>
        <w:t xml:space="preserve"> 2018 r.</w:t>
      </w:r>
    </w:p>
    <w:p w:rsidR="00D83AC4" w:rsidRPr="00EA4C6C" w:rsidRDefault="00D83AC4" w:rsidP="00EA4C6C">
      <w:pPr>
        <w:pStyle w:val="Default"/>
        <w:spacing w:before="240" w:after="240" w:line="276" w:lineRule="auto"/>
        <w:rPr>
          <w:color w:val="00000A"/>
        </w:rPr>
      </w:pPr>
    </w:p>
    <w:p w:rsidR="00D83AC4" w:rsidRPr="00EA4C6C" w:rsidRDefault="00D83AC4" w:rsidP="00EA4C6C">
      <w:pPr>
        <w:pStyle w:val="Default"/>
        <w:spacing w:before="240" w:after="240" w:line="276" w:lineRule="auto"/>
        <w:rPr>
          <w:color w:val="00000A"/>
        </w:rPr>
      </w:pPr>
    </w:p>
    <w:p w:rsidR="00B1707A" w:rsidRDefault="00C937F9" w:rsidP="00EA4C6C">
      <w:pPr>
        <w:pStyle w:val="Default"/>
        <w:spacing w:before="240" w:after="240" w:line="276" w:lineRule="auto"/>
        <w:ind w:left="4956"/>
        <w:rPr>
          <w:b/>
          <w:color w:val="00000A"/>
        </w:rPr>
      </w:pPr>
      <w:r>
        <w:rPr>
          <w:b/>
          <w:color w:val="00000A"/>
        </w:rPr>
        <w:t>Ministerstwo Sprawiedliwości</w:t>
      </w:r>
    </w:p>
    <w:p w:rsidR="00D83AC4" w:rsidRDefault="00C937F9" w:rsidP="00EA4C6C">
      <w:pPr>
        <w:pStyle w:val="Default"/>
        <w:spacing w:before="240" w:after="240" w:line="276" w:lineRule="auto"/>
        <w:ind w:left="4956"/>
        <w:rPr>
          <w:bCs/>
          <w:iCs/>
          <w:color w:val="00000A"/>
        </w:rPr>
      </w:pPr>
      <w:r>
        <w:rPr>
          <w:bCs/>
          <w:iCs/>
          <w:color w:val="00000A"/>
        </w:rPr>
        <w:t>Al. Ujazdowskie 11</w:t>
      </w:r>
      <w:r w:rsidR="003E3565" w:rsidRPr="00EA4C6C">
        <w:rPr>
          <w:color w:val="00000A"/>
        </w:rPr>
        <w:br/>
      </w:r>
      <w:r>
        <w:rPr>
          <w:bCs/>
          <w:iCs/>
          <w:color w:val="00000A"/>
        </w:rPr>
        <w:t>00-950 Warszawa</w:t>
      </w:r>
    </w:p>
    <w:p w:rsidR="00C937F9" w:rsidRPr="00EA4C6C" w:rsidRDefault="00C937F9" w:rsidP="00C937F9">
      <w:pPr>
        <w:pStyle w:val="Default"/>
        <w:spacing w:before="240" w:after="240" w:line="276" w:lineRule="auto"/>
        <w:rPr>
          <w:bCs/>
          <w:iCs/>
          <w:color w:val="00000A"/>
        </w:rPr>
      </w:pPr>
      <w:r w:rsidRPr="00C937F9">
        <w:rPr>
          <w:b/>
          <w:color w:val="00000A"/>
          <w:u w:val="single"/>
        </w:rPr>
        <w:t>Dotyczy</w:t>
      </w:r>
      <w:r w:rsidRPr="00C937F9">
        <w:rPr>
          <w:bCs/>
          <w:iCs/>
          <w:color w:val="00000A"/>
        </w:rPr>
        <w:t>:</w:t>
      </w:r>
      <w:r>
        <w:rPr>
          <w:bCs/>
          <w:iCs/>
          <w:color w:val="00000A"/>
        </w:rPr>
        <w:t xml:space="preserve"> DL-I-4190-15/16</w:t>
      </w:r>
    </w:p>
    <w:p w:rsidR="00C937F9" w:rsidRDefault="00C937F9">
      <w:pPr>
        <w:pStyle w:val="NormalnyWeb"/>
        <w:spacing w:before="280"/>
        <w:jc w:val="center"/>
        <w:rPr>
          <w:rStyle w:val="Pogrubienie"/>
        </w:rPr>
      </w:pPr>
    </w:p>
    <w:p w:rsidR="00D83AC4" w:rsidRDefault="00EA4C6C">
      <w:pPr>
        <w:pStyle w:val="NormalnyWeb"/>
        <w:spacing w:before="280"/>
        <w:jc w:val="center"/>
        <w:rPr>
          <w:rStyle w:val="Pogrubienie"/>
        </w:rPr>
      </w:pPr>
      <w:r>
        <w:rPr>
          <w:rStyle w:val="Pogrubienie"/>
        </w:rPr>
        <w:t>STANOWISKO</w:t>
      </w:r>
      <w:r w:rsidR="003E3565">
        <w:rPr>
          <w:rStyle w:val="Pogrubienie"/>
        </w:rPr>
        <w:br/>
        <w:t xml:space="preserve">Centrum Monitoringu Wolności Prasy SDP </w:t>
      </w:r>
      <w:r w:rsidR="003E3565">
        <w:rPr>
          <w:rStyle w:val="Pogrubienie"/>
        </w:rPr>
        <w:br/>
        <w:t>ws.</w:t>
      </w:r>
      <w:r w:rsidR="00B06031">
        <w:rPr>
          <w:rStyle w:val="Pogrubienie"/>
        </w:rPr>
        <w:t xml:space="preserve"> </w:t>
      </w:r>
      <w:r w:rsidR="00C937F9">
        <w:rPr>
          <w:rStyle w:val="Pogrubienie"/>
        </w:rPr>
        <w:t>projektu ustawy o zmianie ustawy – Kodeks postępowania cywilnego</w:t>
      </w:r>
      <w:r w:rsidR="00C937F9">
        <w:rPr>
          <w:rStyle w:val="Pogrubienie"/>
        </w:rPr>
        <w:br/>
        <w:t>oraz niektórych innych ustaw (UD 180)</w:t>
      </w:r>
    </w:p>
    <w:p w:rsidR="00C937F9" w:rsidRDefault="003E3565" w:rsidP="007752D5">
      <w:pPr>
        <w:pStyle w:val="NormalnyWeb"/>
        <w:spacing w:before="280" w:line="360" w:lineRule="auto"/>
        <w:jc w:val="both"/>
        <w:rPr>
          <w:rStyle w:val="Pogrubienie"/>
          <w:b w:val="0"/>
        </w:rPr>
      </w:pPr>
      <w:r w:rsidRPr="000269A2">
        <w:rPr>
          <w:rStyle w:val="Pogrubienie"/>
          <w:b w:val="0"/>
        </w:rPr>
        <w:t>W związku z</w:t>
      </w:r>
      <w:r w:rsidR="00EA4C6C" w:rsidRPr="000269A2">
        <w:rPr>
          <w:rStyle w:val="Pogrubienie"/>
          <w:b w:val="0"/>
        </w:rPr>
        <w:t xml:space="preserve"> </w:t>
      </w:r>
      <w:r w:rsidR="00C937F9">
        <w:rPr>
          <w:rStyle w:val="Pogrubienie"/>
          <w:b w:val="0"/>
        </w:rPr>
        <w:t xml:space="preserve">otrzymanym projektem </w:t>
      </w:r>
      <w:r w:rsidR="00C937F9" w:rsidRPr="00C937F9">
        <w:rPr>
          <w:rStyle w:val="Pogrubienie"/>
          <w:b w:val="0"/>
          <w:i/>
        </w:rPr>
        <w:t>ustawy o zmianie ustawy – Kodeks postępowania cywilnego oraz niektórych innych ustaw</w:t>
      </w:r>
      <w:r w:rsidR="00C937F9">
        <w:rPr>
          <w:rStyle w:val="Pogrubienie"/>
          <w:b w:val="0"/>
        </w:rPr>
        <w:t xml:space="preserve"> nr UD </w:t>
      </w:r>
      <w:r w:rsidR="007752D5">
        <w:rPr>
          <w:rStyle w:val="Pogrubienie"/>
          <w:b w:val="0"/>
        </w:rPr>
        <w:t xml:space="preserve">180 </w:t>
      </w:r>
      <w:r w:rsidR="00C937F9">
        <w:rPr>
          <w:rStyle w:val="Pogrubienie"/>
          <w:b w:val="0"/>
        </w:rPr>
        <w:t>(dalej: „Projekt”) uprzejmie przed</w:t>
      </w:r>
      <w:r w:rsidR="00D976DA">
        <w:rPr>
          <w:rStyle w:val="Pogrubienie"/>
          <w:b w:val="0"/>
        </w:rPr>
        <w:t xml:space="preserve">stawiamy stanowisko w </w:t>
      </w:r>
      <w:r w:rsidR="00C937F9">
        <w:rPr>
          <w:rStyle w:val="Pogrubienie"/>
          <w:b w:val="0"/>
        </w:rPr>
        <w:t>sprawie</w:t>
      </w:r>
      <w:r w:rsidR="00D976DA">
        <w:rPr>
          <w:rStyle w:val="Pogrubienie"/>
          <w:b w:val="0"/>
        </w:rPr>
        <w:t xml:space="preserve"> Projektu</w:t>
      </w:r>
      <w:r w:rsidR="00C937F9">
        <w:rPr>
          <w:rStyle w:val="Pogrubienie"/>
          <w:b w:val="0"/>
        </w:rPr>
        <w:t>.</w:t>
      </w:r>
    </w:p>
    <w:p w:rsidR="007752D5" w:rsidRDefault="00C937F9" w:rsidP="007752D5">
      <w:pPr>
        <w:pStyle w:val="NormalnyWeb"/>
        <w:spacing w:before="280" w:line="360" w:lineRule="auto"/>
        <w:jc w:val="both"/>
        <w:rPr>
          <w:rStyle w:val="Pogrubienie"/>
          <w:b w:val="0"/>
        </w:rPr>
      </w:pPr>
      <w:r>
        <w:rPr>
          <w:rStyle w:val="Pogrubienie"/>
          <w:b w:val="0"/>
        </w:rPr>
        <w:t xml:space="preserve">Zgodnie z założeniami podanymi w </w:t>
      </w:r>
      <w:r w:rsidR="007752D5">
        <w:rPr>
          <w:rStyle w:val="Pogrubienie"/>
          <w:b w:val="0"/>
        </w:rPr>
        <w:t>treści uzasadnienia</w:t>
      </w:r>
      <w:r>
        <w:rPr>
          <w:rStyle w:val="Pogrubienie"/>
          <w:b w:val="0"/>
        </w:rPr>
        <w:t xml:space="preserve">, znaczna część Projektu dotyczy ochrony informacji niejawnych w obszarze prawnoproceduralnym: postępowania cywilnego, a częściowo również </w:t>
      </w:r>
      <w:r w:rsidR="001F24EA">
        <w:rPr>
          <w:rStyle w:val="Pogrubienie"/>
          <w:b w:val="0"/>
        </w:rPr>
        <w:t>sądowoadministracyjnego</w:t>
      </w:r>
      <w:r w:rsidR="00D976DA">
        <w:rPr>
          <w:rStyle w:val="Pogrubienie"/>
          <w:b w:val="0"/>
        </w:rPr>
        <w:t xml:space="preserve"> oraz w innych obszarach regulacji</w:t>
      </w:r>
      <w:r w:rsidR="001F24EA">
        <w:rPr>
          <w:rStyle w:val="Pogrubienie"/>
          <w:b w:val="0"/>
        </w:rPr>
        <w:t xml:space="preserve">. </w:t>
      </w:r>
      <w:r w:rsidR="007752D5">
        <w:rPr>
          <w:rStyle w:val="Pogrubienie"/>
          <w:b w:val="0"/>
        </w:rPr>
        <w:t xml:space="preserve"> </w:t>
      </w:r>
    </w:p>
    <w:p w:rsidR="00C937F9" w:rsidRDefault="00027ECF" w:rsidP="007752D5">
      <w:pPr>
        <w:pStyle w:val="NormalnyWeb"/>
        <w:spacing w:before="280" w:line="360" w:lineRule="auto"/>
        <w:jc w:val="both"/>
        <w:rPr>
          <w:rStyle w:val="Pogrubienie"/>
          <w:b w:val="0"/>
        </w:rPr>
      </w:pPr>
      <w:r>
        <w:rPr>
          <w:rStyle w:val="Pogrubienie"/>
          <w:b w:val="0"/>
        </w:rPr>
        <w:t>Na uwagę zasługuje fakt, że w</w:t>
      </w:r>
      <w:r w:rsidR="00B1707A">
        <w:rPr>
          <w:rStyle w:val="Pogrubienie"/>
          <w:b w:val="0"/>
        </w:rPr>
        <w:t xml:space="preserve"> związku z tymi zmianami </w:t>
      </w:r>
      <w:r w:rsidR="007752D5">
        <w:rPr>
          <w:rStyle w:val="Pogrubienie"/>
          <w:b w:val="0"/>
        </w:rPr>
        <w:t>przewidziano</w:t>
      </w:r>
      <w:r w:rsidR="00B1707A">
        <w:rPr>
          <w:rStyle w:val="Pogrubienie"/>
          <w:b w:val="0"/>
        </w:rPr>
        <w:t xml:space="preserve"> </w:t>
      </w:r>
      <w:r w:rsidR="007752D5">
        <w:rPr>
          <w:rStyle w:val="Pogrubienie"/>
          <w:b w:val="0"/>
        </w:rPr>
        <w:t>m. in.</w:t>
      </w:r>
      <w:r w:rsidR="001F24EA">
        <w:rPr>
          <w:rStyle w:val="Pogrubienie"/>
          <w:b w:val="0"/>
        </w:rPr>
        <w:t xml:space="preserve"> </w:t>
      </w:r>
      <w:r w:rsidR="00B1707A">
        <w:rPr>
          <w:rStyle w:val="Pogrubienie"/>
          <w:b w:val="0"/>
        </w:rPr>
        <w:t xml:space="preserve">kompleksowe uregulowanie kwestii tajemnicy </w:t>
      </w:r>
      <w:r w:rsidR="007752D5">
        <w:rPr>
          <w:rStyle w:val="Pogrubienie"/>
          <w:b w:val="0"/>
        </w:rPr>
        <w:t>zawodowej (</w:t>
      </w:r>
      <w:r w:rsidR="00D976DA">
        <w:rPr>
          <w:rStyle w:val="Pogrubienie"/>
          <w:b w:val="0"/>
        </w:rPr>
        <w:t>nowy</w:t>
      </w:r>
      <w:r w:rsidR="00B1707A">
        <w:rPr>
          <w:rStyle w:val="Pogrubienie"/>
          <w:b w:val="0"/>
        </w:rPr>
        <w:t xml:space="preserve"> art. 261</w:t>
      </w:r>
      <w:r w:rsidR="00B1707A" w:rsidRPr="00B1707A">
        <w:rPr>
          <w:rStyle w:val="Pogrubienie"/>
          <w:b w:val="0"/>
          <w:vertAlign w:val="superscript"/>
        </w:rPr>
        <w:t xml:space="preserve">1 </w:t>
      </w:r>
      <w:r w:rsidR="00B1707A">
        <w:rPr>
          <w:rStyle w:val="Pogrubienie"/>
          <w:b w:val="0"/>
        </w:rPr>
        <w:t>k.p.c.</w:t>
      </w:r>
      <w:r w:rsidR="00D976DA">
        <w:rPr>
          <w:rStyle w:val="Pogrubienie"/>
          <w:b w:val="0"/>
        </w:rPr>
        <w:t>).</w:t>
      </w:r>
      <w:r w:rsidR="00F510BE">
        <w:rPr>
          <w:rStyle w:val="Pogrubienie"/>
          <w:b w:val="0"/>
        </w:rPr>
        <w:t xml:space="preserve"> W tym zakresie Projekt nawiązuje do uregulowania, które obecnie obowiązuje na gruncie postępowania karnego</w:t>
      </w:r>
      <w:r w:rsidR="00D92499">
        <w:rPr>
          <w:rStyle w:val="Pogrubienie"/>
          <w:b w:val="0"/>
        </w:rPr>
        <w:t xml:space="preserve"> </w:t>
      </w:r>
      <w:r w:rsidR="00D92499">
        <w:rPr>
          <w:rStyle w:val="Pogrubienie"/>
          <w:b w:val="0"/>
        </w:rPr>
        <w:br/>
        <w:t>(w</w:t>
      </w:r>
      <w:r w:rsidR="00F510BE">
        <w:rPr>
          <w:rStyle w:val="Pogrubienie"/>
          <w:b w:val="0"/>
        </w:rPr>
        <w:t xml:space="preserve"> istocie </w:t>
      </w:r>
      <w:r w:rsidR="00D976DA">
        <w:rPr>
          <w:rStyle w:val="Pogrubienie"/>
          <w:b w:val="0"/>
        </w:rPr>
        <w:t xml:space="preserve">kluczowa część </w:t>
      </w:r>
      <w:r w:rsidR="00F510BE">
        <w:rPr>
          <w:rStyle w:val="Pogrubienie"/>
          <w:b w:val="0"/>
        </w:rPr>
        <w:t>projektowane</w:t>
      </w:r>
      <w:r w:rsidR="00D976DA">
        <w:rPr>
          <w:rStyle w:val="Pogrubienie"/>
          <w:b w:val="0"/>
        </w:rPr>
        <w:t>go przepisu jest</w:t>
      </w:r>
      <w:r w:rsidR="00F510BE">
        <w:rPr>
          <w:rStyle w:val="Pogrubienie"/>
          <w:b w:val="0"/>
        </w:rPr>
        <w:t xml:space="preserve"> w </w:t>
      </w:r>
      <w:r w:rsidR="00D976DA">
        <w:rPr>
          <w:rStyle w:val="Pogrubienie"/>
          <w:b w:val="0"/>
        </w:rPr>
        <w:t>zdecydowanej większości zbieżna</w:t>
      </w:r>
      <w:r w:rsidR="00F510BE">
        <w:rPr>
          <w:rStyle w:val="Pogrubienie"/>
          <w:b w:val="0"/>
        </w:rPr>
        <w:t xml:space="preserve"> </w:t>
      </w:r>
      <w:r w:rsidR="00D976DA">
        <w:rPr>
          <w:rStyle w:val="Pogrubienie"/>
          <w:b w:val="0"/>
        </w:rPr>
        <w:br/>
      </w:r>
      <w:r w:rsidR="00F510BE">
        <w:rPr>
          <w:rStyle w:val="Pogrubienie"/>
          <w:b w:val="0"/>
        </w:rPr>
        <w:t>z art. 180 k.p.k.</w:t>
      </w:r>
      <w:r w:rsidR="00D92499">
        <w:rPr>
          <w:rStyle w:val="Pogrubienie"/>
          <w:b w:val="0"/>
        </w:rPr>
        <w:t>)</w:t>
      </w:r>
      <w:r w:rsidR="00D976DA">
        <w:rPr>
          <w:rStyle w:val="Pogrubienie"/>
          <w:b w:val="0"/>
        </w:rPr>
        <w:t>:</w:t>
      </w:r>
    </w:p>
    <w:p w:rsidR="00F510BE" w:rsidRPr="001A4C1E" w:rsidRDefault="001A4C1E" w:rsidP="007752D5">
      <w:pPr>
        <w:pStyle w:val="NormalnyWeb"/>
        <w:spacing w:before="120" w:after="120" w:line="276" w:lineRule="auto"/>
        <w:jc w:val="both"/>
        <w:rPr>
          <w:i/>
          <w:sz w:val="22"/>
        </w:rPr>
      </w:pPr>
      <w:r w:rsidRPr="001A4C1E">
        <w:rPr>
          <w:rStyle w:val="Pogrubienie"/>
          <w:b w:val="0"/>
          <w:i/>
          <w:sz w:val="22"/>
        </w:rPr>
        <w:t>„</w:t>
      </w:r>
      <w:r w:rsidR="00BD0934" w:rsidRPr="001A4C1E">
        <w:rPr>
          <w:rStyle w:val="Pogrubienie"/>
          <w:b w:val="0"/>
          <w:i/>
          <w:sz w:val="22"/>
        </w:rPr>
        <w:t>Art. 261</w:t>
      </w:r>
      <w:r w:rsidR="00BD0934" w:rsidRPr="001A4C1E">
        <w:rPr>
          <w:rStyle w:val="Pogrubienie"/>
          <w:b w:val="0"/>
          <w:i/>
          <w:sz w:val="22"/>
          <w:vertAlign w:val="superscript"/>
        </w:rPr>
        <w:t>1</w:t>
      </w:r>
      <w:r w:rsidR="00BD0934" w:rsidRPr="001A4C1E">
        <w:rPr>
          <w:rStyle w:val="Pogrubienie"/>
          <w:b w:val="0"/>
          <w:i/>
          <w:sz w:val="22"/>
        </w:rPr>
        <w:t xml:space="preserve">. </w:t>
      </w:r>
      <w:r w:rsidR="00B1707A" w:rsidRPr="001A4C1E">
        <w:rPr>
          <w:i/>
          <w:sz w:val="22"/>
        </w:rPr>
        <w:t xml:space="preserve">§ 1. Osoby obowiązane do zachowania w tajemnicy informacji niejawnych o klauzuli tajności „zastrzeżone” lub tajemnicy związanej z wykonywaniem zawodu lub funkcji mogą odmówić zeznań co do okoliczności, na które rozciąga się ten obowiązek, chyba że sąd zwolni te osoby od obowiązku zachowania tajemnicy, jeżeli ustawy szczególne nie stanowią inaczej. </w:t>
      </w:r>
    </w:p>
    <w:p w:rsidR="00F510BE" w:rsidRPr="001A4C1E" w:rsidRDefault="00B1707A" w:rsidP="007752D5">
      <w:pPr>
        <w:pStyle w:val="NormalnyWeb"/>
        <w:spacing w:before="120" w:after="120" w:line="276" w:lineRule="auto"/>
        <w:jc w:val="both"/>
        <w:rPr>
          <w:i/>
          <w:sz w:val="22"/>
        </w:rPr>
      </w:pPr>
      <w:r w:rsidRPr="001A4C1E">
        <w:rPr>
          <w:i/>
          <w:sz w:val="22"/>
        </w:rPr>
        <w:t xml:space="preserve">§ 2. Osoby obowiązane do zachowania tajemnicy adwokackiej, radcy prawnego, doradcy podatkowego, lekarskiej, dziennikarskiej lub statystycznej mogą być przesłuchiwane co do faktów objętych tą tajemnicą tylko wtedy, gdy jest to niezbędne dla dobra wymiaru sprawiedliwości, </w:t>
      </w:r>
      <w:r w:rsidR="0017243C">
        <w:rPr>
          <w:i/>
          <w:sz w:val="22"/>
        </w:rPr>
        <w:br/>
      </w:r>
      <w:r w:rsidRPr="001A4C1E">
        <w:rPr>
          <w:i/>
          <w:sz w:val="22"/>
        </w:rPr>
        <w:t xml:space="preserve">a okoliczność nie może być ustalona na podstawie innego dowodu. </w:t>
      </w:r>
      <w:r w:rsidR="00BD0934" w:rsidRPr="001A4C1E">
        <w:rPr>
          <w:i/>
          <w:sz w:val="22"/>
        </w:rPr>
        <w:t>(..)</w:t>
      </w:r>
    </w:p>
    <w:p w:rsidR="00B1707A" w:rsidRPr="001A4C1E" w:rsidRDefault="00B1707A" w:rsidP="007752D5">
      <w:pPr>
        <w:pStyle w:val="NormalnyWeb"/>
        <w:spacing w:before="120" w:after="120" w:line="276" w:lineRule="auto"/>
        <w:jc w:val="both"/>
        <w:rPr>
          <w:i/>
          <w:sz w:val="22"/>
        </w:rPr>
      </w:pPr>
      <w:r w:rsidRPr="001A4C1E">
        <w:rPr>
          <w:i/>
          <w:sz w:val="22"/>
        </w:rPr>
        <w:lastRenderedPageBreak/>
        <w:t xml:space="preserve">§ 3. Zwolnienie dziennikarza od obowiązku zachowania tajemnicy nie może dotyczyć danych umożliwiających identyfikację autora materiału prasowego, listu do redakcji lub innego materiału </w:t>
      </w:r>
      <w:r w:rsidR="0017243C">
        <w:rPr>
          <w:i/>
          <w:sz w:val="22"/>
        </w:rPr>
        <w:br/>
      </w:r>
      <w:r w:rsidRPr="001A4C1E">
        <w:rPr>
          <w:i/>
          <w:sz w:val="22"/>
        </w:rPr>
        <w:t>o tym charakterze, jak również identyfikację osób udzielających informacji opublikowanych lub przekazanych do opublikowania, jeżeli osoby te zastrzegły nieujawnianie powyższych danych.</w:t>
      </w:r>
    </w:p>
    <w:p w:rsidR="00BD0934" w:rsidRDefault="00BD0934" w:rsidP="007752D5">
      <w:pPr>
        <w:pStyle w:val="NormalnyWeb"/>
        <w:spacing w:before="120" w:after="120" w:line="276" w:lineRule="auto"/>
        <w:jc w:val="both"/>
        <w:rPr>
          <w:rStyle w:val="Pogrubienie"/>
          <w:b w:val="0"/>
        </w:rPr>
      </w:pPr>
      <w:r w:rsidRPr="001A4C1E">
        <w:rPr>
          <w:i/>
          <w:sz w:val="22"/>
        </w:rPr>
        <w:t>§ 4. W przypadkach przewidzianych w § 1, 2 i  3 sąd przesłuchuje taką osobę na posiedzeniu przy drzwiach zamkniętych. (…)”</w:t>
      </w:r>
    </w:p>
    <w:p w:rsidR="00D976DA" w:rsidRDefault="00D976DA" w:rsidP="007752D5">
      <w:pPr>
        <w:pStyle w:val="NormalnyWeb"/>
        <w:spacing w:before="280" w:line="360" w:lineRule="auto"/>
        <w:jc w:val="both"/>
        <w:rPr>
          <w:rStyle w:val="Pogrubienie"/>
          <w:b w:val="0"/>
        </w:rPr>
      </w:pPr>
      <w:r>
        <w:rPr>
          <w:rStyle w:val="Pogrubienie"/>
          <w:b w:val="0"/>
        </w:rPr>
        <w:t>W tej materii CMWP zobligowany jest wyrazić swoje stanowisko, gdyż p</w:t>
      </w:r>
      <w:r w:rsidR="001A4C1E" w:rsidRPr="007752D5">
        <w:rPr>
          <w:rStyle w:val="Pogrubienie"/>
          <w:b w:val="0"/>
        </w:rPr>
        <w:t xml:space="preserve">owyższe uregulowanie budzi </w:t>
      </w:r>
      <w:r w:rsidR="00D92499">
        <w:rPr>
          <w:rStyle w:val="Pogrubienie"/>
          <w:b w:val="0"/>
        </w:rPr>
        <w:t>wątpliwości</w:t>
      </w:r>
      <w:r w:rsidR="001A4C1E" w:rsidRPr="007752D5">
        <w:rPr>
          <w:rStyle w:val="Pogrubienie"/>
          <w:b w:val="0"/>
        </w:rPr>
        <w:t xml:space="preserve"> w zakresie dotyczącym przyznania sądo</w:t>
      </w:r>
      <w:r>
        <w:rPr>
          <w:rStyle w:val="Pogrubienie"/>
          <w:b w:val="0"/>
        </w:rPr>
        <w:t>wi prawa do zwolnienia świadka od</w:t>
      </w:r>
      <w:r w:rsidR="001A4C1E" w:rsidRPr="007752D5">
        <w:rPr>
          <w:rStyle w:val="Pogrubienie"/>
          <w:b w:val="0"/>
        </w:rPr>
        <w:t xml:space="preserve"> tajemnicy zawodowej. </w:t>
      </w:r>
      <w:r w:rsidR="00D92499">
        <w:rPr>
          <w:rStyle w:val="Pogrubienie"/>
          <w:b w:val="0"/>
        </w:rPr>
        <w:t>W szczególności</w:t>
      </w:r>
      <w:r w:rsidR="001A4C1E" w:rsidRPr="007752D5">
        <w:rPr>
          <w:rStyle w:val="Pogrubienie"/>
          <w:b w:val="0"/>
        </w:rPr>
        <w:t xml:space="preserve"> dotyczy to tajemnicy dziennikarskiej. </w:t>
      </w:r>
    </w:p>
    <w:p w:rsidR="00D976DA" w:rsidRDefault="001A4C1E" w:rsidP="007752D5">
      <w:pPr>
        <w:pStyle w:val="NormalnyWeb"/>
        <w:spacing w:before="280" w:line="360" w:lineRule="auto"/>
        <w:jc w:val="both"/>
      </w:pPr>
      <w:r w:rsidRPr="007752D5">
        <w:rPr>
          <w:rStyle w:val="Pogrubienie"/>
          <w:b w:val="0"/>
        </w:rPr>
        <w:t xml:space="preserve">Projektodawca wyszedł z założenia, że osoby </w:t>
      </w:r>
      <w:r w:rsidRPr="007752D5">
        <w:t xml:space="preserve"> obowiązane do zachowania tajemnicy dziennikarskiej mogą być przesłuchiwane co do faktów objętych tą tajemnicą „</w:t>
      </w:r>
      <w:r w:rsidRPr="00D976DA">
        <w:rPr>
          <w:i/>
        </w:rPr>
        <w:t>tylko wtedy, gdy jest to niezbędne dla dobra wymiaru sprawiedliwości, a okoliczność nie może być ustalona na podstawie innego dowodu</w:t>
      </w:r>
      <w:r w:rsidRPr="007752D5">
        <w:t xml:space="preserve">”. Teoretycznie </w:t>
      </w:r>
      <w:r w:rsidR="00D976DA">
        <w:t>zabezpieczeniem</w:t>
      </w:r>
      <w:r w:rsidRPr="007752D5">
        <w:t xml:space="preserve"> dla dziennikarza ma być zasada, zgodnie z którą zwolnienie go od obowiązku zachowania tajemnicy nie może dotyczyć danych umożliwiających identyfikację autora materiału prasowego, listu do redakcji lub innego materiału o tym charakterze, </w:t>
      </w:r>
      <w:r w:rsidR="00D92499">
        <w:t>lub</w:t>
      </w:r>
      <w:r w:rsidRPr="007752D5">
        <w:t xml:space="preserve"> identyfikację osób udzielających informacji opublikowanych lub przekazanych do opublikowania, jeżeli osoby te zastrzegły nieujawnianie powyższych danych. Przewidziano również prawo do wniesienia zażalenia </w:t>
      </w:r>
      <w:r w:rsidR="00D92499">
        <w:br/>
      </w:r>
      <w:r w:rsidRPr="007752D5">
        <w:t xml:space="preserve">na postanowienie sądu, co wpisuje się w system zażaleniowy określony w k.p.c. </w:t>
      </w:r>
    </w:p>
    <w:p w:rsidR="00324C1C" w:rsidRDefault="00D92499" w:rsidP="007752D5">
      <w:pPr>
        <w:pStyle w:val="NormalnyWeb"/>
        <w:spacing w:before="280" w:line="360" w:lineRule="auto"/>
        <w:jc w:val="both"/>
      </w:pPr>
      <w:r>
        <w:t>Niemniej, b</w:t>
      </w:r>
      <w:r w:rsidR="00D976DA" w:rsidRPr="00D976DA">
        <w:t xml:space="preserve">rzmienie przepisu wskazuje, że ograniczenia zwolnienia od tajemnicy </w:t>
      </w:r>
      <w:r>
        <w:br/>
      </w:r>
      <w:r w:rsidR="00D976DA" w:rsidRPr="00D976DA">
        <w:t>są w znacznej</w:t>
      </w:r>
      <w:r>
        <w:t xml:space="preserve"> mierze uznaniowe </w:t>
      </w:r>
      <w:r w:rsidR="00D976DA" w:rsidRPr="00D976DA">
        <w:t xml:space="preserve">(np. klauzula „dobra wymiaru sprawiedliwości”). </w:t>
      </w:r>
      <w:r w:rsidR="00D976DA">
        <w:t xml:space="preserve"> Przede wszystkim jednak, </w:t>
      </w:r>
      <w:r>
        <w:t xml:space="preserve">niewłaściwe wydaje się </w:t>
      </w:r>
      <w:r w:rsidR="001A4C1E" w:rsidRPr="007752D5">
        <w:t xml:space="preserve">przenoszenie uregulowań i instytucji </w:t>
      </w:r>
      <w:r w:rsidR="00324C1C">
        <w:t>postępowania</w:t>
      </w:r>
      <w:r w:rsidR="001A4C1E" w:rsidRPr="007752D5">
        <w:t xml:space="preserve"> karnego na grunt </w:t>
      </w:r>
      <w:r w:rsidR="00D976DA">
        <w:t>postępowan</w:t>
      </w:r>
      <w:r w:rsidR="00324C1C">
        <w:t>i</w:t>
      </w:r>
      <w:r w:rsidR="00D976DA">
        <w:t>a</w:t>
      </w:r>
      <w:r w:rsidR="001A4C1E" w:rsidRPr="007752D5">
        <w:t xml:space="preserve"> cywilnego. </w:t>
      </w:r>
      <w:r>
        <w:t>P</w:t>
      </w:r>
      <w:r w:rsidR="00B55721" w:rsidRPr="007752D5">
        <w:t>ostępowanie</w:t>
      </w:r>
      <w:r w:rsidR="001A4C1E" w:rsidRPr="007752D5">
        <w:t xml:space="preserve"> karne </w:t>
      </w:r>
      <w:r>
        <w:t xml:space="preserve">służy ochronie </w:t>
      </w:r>
      <w:r w:rsidR="001A4C1E" w:rsidRPr="007752D5">
        <w:t xml:space="preserve">fundamentalnych dóbr, </w:t>
      </w:r>
      <w:r>
        <w:t xml:space="preserve">takich </w:t>
      </w:r>
      <w:r w:rsidR="001A4C1E" w:rsidRPr="007752D5">
        <w:t xml:space="preserve">jak np. </w:t>
      </w:r>
      <w:r>
        <w:t xml:space="preserve">bezpieczeństwo powszechne, </w:t>
      </w:r>
      <w:r w:rsidR="001A4C1E" w:rsidRPr="007752D5">
        <w:t>życie i zdrowie ludzkie</w:t>
      </w:r>
      <w:r>
        <w:t xml:space="preserve">, </w:t>
      </w:r>
      <w:r w:rsidR="001A4C1E" w:rsidRPr="007752D5">
        <w:t>dobro Państwa Polskiego</w:t>
      </w:r>
      <w:r>
        <w:t>, ochrona wymiaru sprawiedliwości itp.</w:t>
      </w:r>
      <w:r w:rsidR="00B55721" w:rsidRPr="007752D5">
        <w:t xml:space="preserve"> i ma zapewnić sprawne działanie organów wymiaru sprawiedliwości w tych sprawach</w:t>
      </w:r>
      <w:r>
        <w:t xml:space="preserve">. Natomiast </w:t>
      </w:r>
      <w:r w:rsidR="00B55721" w:rsidRPr="007752D5">
        <w:t>postępowanie</w:t>
      </w:r>
      <w:r w:rsidR="001A4C1E" w:rsidRPr="007752D5">
        <w:t xml:space="preserve"> cywilne reguluje </w:t>
      </w:r>
      <w:r>
        <w:t>niezwykle szeroki</w:t>
      </w:r>
      <w:r w:rsidR="001A4C1E" w:rsidRPr="007752D5">
        <w:t xml:space="preserve"> obszar </w:t>
      </w:r>
      <w:r w:rsidR="00FC1E66">
        <w:t xml:space="preserve">jurysdykcji sądowej w sprawach </w:t>
      </w:r>
      <w:r w:rsidR="00B55721" w:rsidRPr="007752D5">
        <w:t xml:space="preserve">należących </w:t>
      </w:r>
      <w:r w:rsidR="00FC1E66">
        <w:t>(</w:t>
      </w:r>
      <w:r w:rsidR="00B55721" w:rsidRPr="007752D5">
        <w:t>często</w:t>
      </w:r>
      <w:r w:rsidR="00FC1E66">
        <w:t>)</w:t>
      </w:r>
      <w:r w:rsidR="00B55721" w:rsidRPr="007752D5">
        <w:t xml:space="preserve"> do odrębnych dziedzin </w:t>
      </w:r>
      <w:r w:rsidR="00FC1E66">
        <w:t xml:space="preserve">prawa </w:t>
      </w:r>
      <w:r w:rsidR="00B55721" w:rsidRPr="007752D5">
        <w:t xml:space="preserve">i o </w:t>
      </w:r>
      <w:r w:rsidR="00FC1E66">
        <w:t>odmiennej wadze</w:t>
      </w:r>
      <w:r w:rsidR="00B55721" w:rsidRPr="007752D5">
        <w:t xml:space="preserve">. Do spraw rozpoznawanych przez sądy na gruncie k.p.c. należą m. in. sprawy z zakresu: prawa zobowiązań, prawa rzeczowego, prawa spadkowego, praw autorskich, </w:t>
      </w:r>
      <w:r w:rsidR="00FC1E66">
        <w:t xml:space="preserve">prawa pracy, </w:t>
      </w:r>
      <w:r w:rsidR="00B55721" w:rsidRPr="007752D5">
        <w:t xml:space="preserve">ubezpieczeń  społecznych itp. Zwolnienie od tajemnicy zawodowej powinno być dopuszczalne jedynie w zupełnie wyjątkowych przypadkach, o szczególnej wadze i przy zapewnieniu </w:t>
      </w:r>
      <w:r w:rsidR="00324C1C">
        <w:t>szeregu gwarancji procesowych. Trudno</w:t>
      </w:r>
      <w:r w:rsidR="00254E7D">
        <w:t xml:space="preserve"> </w:t>
      </w:r>
      <w:r w:rsidR="00254E7D">
        <w:lastRenderedPageBreak/>
        <w:t xml:space="preserve">to dopuścić w </w:t>
      </w:r>
      <w:r w:rsidR="00FC1E66">
        <w:t xml:space="preserve">zwykłej </w:t>
      </w:r>
      <w:r w:rsidR="00254E7D">
        <w:t>sprawie cywilnej</w:t>
      </w:r>
      <w:r w:rsidR="00FC1E66">
        <w:t xml:space="preserve">, </w:t>
      </w:r>
      <w:r w:rsidR="00324C1C">
        <w:t xml:space="preserve">chyba że chodziłoby np. o zagrożenie </w:t>
      </w:r>
      <w:r w:rsidR="00254E7D">
        <w:t>dla majątku</w:t>
      </w:r>
      <w:r w:rsidR="00324C1C">
        <w:t xml:space="preserve"> Skarbu Państwa wielomiliardową szkodą. </w:t>
      </w:r>
      <w:r w:rsidR="00B55721" w:rsidRPr="007752D5">
        <w:t>Ni</w:t>
      </w:r>
      <w:r w:rsidR="00324C1C">
        <w:t>e sposób przyjąć</w:t>
      </w:r>
      <w:r w:rsidR="00B55721" w:rsidRPr="007752D5">
        <w:t xml:space="preserve">, aby sąd cywilny miał prawo zwolnienia dziennikarza (ale także adwokata, radcy prawnego, lekarza) </w:t>
      </w:r>
      <w:r w:rsidR="00FC1E66">
        <w:t xml:space="preserve">od tajemnicy zawodowej </w:t>
      </w:r>
      <w:r w:rsidR="00B55721" w:rsidRPr="007752D5">
        <w:t>w spraw</w:t>
      </w:r>
      <w:r w:rsidR="00324C1C">
        <w:t xml:space="preserve">ie o zapłatę drobnej kwoty, </w:t>
      </w:r>
      <w:r w:rsidR="00B55721" w:rsidRPr="007752D5">
        <w:t>w sporze o prawa autorskie</w:t>
      </w:r>
      <w:r w:rsidR="00FC1E66">
        <w:t>, o dobra osobiste</w:t>
      </w:r>
      <w:r w:rsidR="00B55721" w:rsidRPr="007752D5">
        <w:t xml:space="preserve"> lub w sporze granicznym dotyczącym nieruchomości.</w:t>
      </w:r>
      <w:r w:rsidR="00135C91" w:rsidRPr="007752D5">
        <w:t xml:space="preserve"> W ogromnej większości </w:t>
      </w:r>
      <w:r w:rsidR="00FC1E66">
        <w:t xml:space="preserve">tego rodzaju </w:t>
      </w:r>
      <w:r w:rsidR="00135C91" w:rsidRPr="007752D5">
        <w:t>spraw</w:t>
      </w:r>
      <w:r w:rsidR="00B55721" w:rsidRPr="007752D5">
        <w:t xml:space="preserve"> </w:t>
      </w:r>
      <w:r w:rsidR="00135C91" w:rsidRPr="007752D5">
        <w:t>zwolnienie o</w:t>
      </w:r>
      <w:r w:rsidR="00FC1E66">
        <w:t>d</w:t>
      </w:r>
      <w:r w:rsidR="00135C91" w:rsidRPr="007752D5">
        <w:t xml:space="preserve"> tajemnicy zawodowej powinno być </w:t>
      </w:r>
      <w:r w:rsidR="00FC1E66">
        <w:t>całkowicie</w:t>
      </w:r>
      <w:r w:rsidR="00324C1C">
        <w:t xml:space="preserve"> </w:t>
      </w:r>
      <w:r w:rsidR="00135C91" w:rsidRPr="007752D5">
        <w:t xml:space="preserve">zakazane. </w:t>
      </w:r>
    </w:p>
    <w:p w:rsidR="007752D5" w:rsidRPr="00D976DA" w:rsidRDefault="00135C91" w:rsidP="007752D5">
      <w:pPr>
        <w:pStyle w:val="NormalnyWeb"/>
        <w:spacing w:before="280" w:line="360" w:lineRule="auto"/>
        <w:jc w:val="both"/>
        <w:rPr>
          <w:bCs/>
        </w:rPr>
      </w:pPr>
      <w:r w:rsidRPr="007752D5">
        <w:t xml:space="preserve">Tymczasem projektodawca </w:t>
      </w:r>
      <w:r w:rsidR="00FC1E66">
        <w:t xml:space="preserve">najwyraźniej uznał ten problem </w:t>
      </w:r>
      <w:r w:rsidRPr="007752D5">
        <w:t>za nie</w:t>
      </w:r>
      <w:r w:rsidR="00B17606">
        <w:t>dostatecznie</w:t>
      </w:r>
      <w:r w:rsidR="00FC1E66">
        <w:t xml:space="preserve"> istotny</w:t>
      </w:r>
      <w:r w:rsidRPr="007752D5">
        <w:t xml:space="preserve"> </w:t>
      </w:r>
      <w:r w:rsidR="00B17606">
        <w:br/>
      </w:r>
      <w:r w:rsidRPr="007752D5">
        <w:t>i zastosował uregulowania</w:t>
      </w:r>
      <w:r w:rsidR="00FC1E66">
        <w:t xml:space="preserve">, które zasadniczo należą do dziedziny </w:t>
      </w:r>
      <w:r w:rsidRPr="007752D5">
        <w:t xml:space="preserve">prawa karnego. </w:t>
      </w:r>
      <w:r w:rsidR="00B17606">
        <w:br/>
      </w:r>
      <w:r w:rsidRPr="007752D5">
        <w:t xml:space="preserve">W przypadku ich przyjęcia, </w:t>
      </w:r>
      <w:r w:rsidR="00FC1E66">
        <w:t>doprowadzi</w:t>
      </w:r>
      <w:r w:rsidRPr="007752D5">
        <w:t xml:space="preserve"> </w:t>
      </w:r>
      <w:r w:rsidR="00FC1E66">
        <w:t xml:space="preserve">to </w:t>
      </w:r>
      <w:r w:rsidRPr="007752D5">
        <w:t xml:space="preserve">do deprecjacji tajemnicy zawodowej, w </w:t>
      </w:r>
      <w:r w:rsidR="007752D5" w:rsidRPr="007752D5">
        <w:t>tym  tajemnicy dziennikarskiej</w:t>
      </w:r>
      <w:r w:rsidR="00FC1E66">
        <w:t xml:space="preserve"> oraz</w:t>
      </w:r>
      <w:r w:rsidR="00324C1C">
        <w:t xml:space="preserve"> zawodu dziennikarza w ogólności. </w:t>
      </w:r>
    </w:p>
    <w:p w:rsidR="007752D5" w:rsidRPr="007752D5" w:rsidRDefault="007752D5" w:rsidP="007752D5">
      <w:pPr>
        <w:pStyle w:val="NormalnyWeb"/>
        <w:spacing w:before="280" w:line="360" w:lineRule="auto"/>
        <w:jc w:val="both"/>
      </w:pPr>
      <w:r w:rsidRPr="007752D5">
        <w:t xml:space="preserve">Mając powyższe na uwadze, </w:t>
      </w:r>
      <w:r w:rsidR="00FC1E66">
        <w:t xml:space="preserve">CMWP SDP stoi na stanowisku, że Projekt trudno pogodzić </w:t>
      </w:r>
      <w:r w:rsidR="0017243C">
        <w:br/>
      </w:r>
      <w:r w:rsidR="00FC1E66">
        <w:t xml:space="preserve">ze statusem zawodu dziennikarza. </w:t>
      </w:r>
      <w:r w:rsidR="00B17606">
        <w:t>Zapisy Projektu budzą</w:t>
      </w:r>
      <w:r w:rsidR="00FC1E66">
        <w:t xml:space="preserve"> wątpliwości z punktu widzenia przestrzegania</w:t>
      </w:r>
      <w:r w:rsidRPr="007752D5">
        <w:t xml:space="preserve"> wolności słowa, gwarantowanej mocą art. 10 Europejskiej Konwencji Praw Człowieka oraz art. 54 ust. 1 Konstytucji RP. Według oceny CMWP, Projekt wymaga </w:t>
      </w:r>
      <w:r w:rsidR="00FC1E66">
        <w:t xml:space="preserve">istotnej korekty, jeżeli </w:t>
      </w:r>
      <w:r w:rsidRPr="007752D5">
        <w:t xml:space="preserve">dalsze prace nad nim </w:t>
      </w:r>
      <w:r w:rsidR="00FC1E66">
        <w:t xml:space="preserve">mają </w:t>
      </w:r>
      <w:r w:rsidRPr="007752D5">
        <w:t xml:space="preserve">być </w:t>
      </w:r>
      <w:r w:rsidR="00324C1C">
        <w:t>kontynuowane.</w:t>
      </w:r>
    </w:p>
    <w:p w:rsidR="00D83AC4" w:rsidRPr="003E3565" w:rsidRDefault="003E3565" w:rsidP="007752D5">
      <w:pPr>
        <w:pStyle w:val="NormalnyWeb"/>
        <w:spacing w:before="280" w:line="276" w:lineRule="auto"/>
        <w:ind w:left="5760"/>
        <w:jc w:val="both"/>
        <w:rPr>
          <w:i/>
        </w:rPr>
      </w:pPr>
      <w:r w:rsidRPr="003E3565">
        <w:rPr>
          <w:i/>
        </w:rPr>
        <w:t>dr Jolanta Hajdasz</w:t>
      </w:r>
    </w:p>
    <w:p w:rsidR="00D83AC4" w:rsidRDefault="003E3565" w:rsidP="00FC1E66">
      <w:pPr>
        <w:pStyle w:val="NormalnyWeb"/>
        <w:spacing w:before="280" w:line="276" w:lineRule="auto"/>
        <w:ind w:left="5760"/>
      </w:pPr>
      <w:r>
        <w:t>Dyrektor CMWP SDP</w:t>
      </w:r>
    </w:p>
    <w:p w:rsidR="00FC1E66" w:rsidRPr="00FC1E66" w:rsidRDefault="00FC1E66" w:rsidP="00FC1E66">
      <w:pPr>
        <w:pStyle w:val="NormalnyWeb"/>
        <w:spacing w:before="280" w:line="276" w:lineRule="auto"/>
        <w:ind w:left="5760"/>
        <w:rPr>
          <w:i/>
        </w:rPr>
      </w:pPr>
      <w:r>
        <w:rPr>
          <w:i/>
        </w:rPr>
        <w:br/>
      </w:r>
      <w:r w:rsidRPr="00FC1E66">
        <w:rPr>
          <w:i/>
        </w:rPr>
        <w:t xml:space="preserve">Michał </w:t>
      </w:r>
      <w:r w:rsidR="00B17606">
        <w:rPr>
          <w:i/>
        </w:rPr>
        <w:t xml:space="preserve">Ł. </w:t>
      </w:r>
      <w:r w:rsidRPr="00FC1E66">
        <w:rPr>
          <w:i/>
        </w:rPr>
        <w:t>Jaszewski</w:t>
      </w:r>
    </w:p>
    <w:p w:rsidR="00FC1E66" w:rsidRDefault="00FC1E66" w:rsidP="00FC1E66">
      <w:pPr>
        <w:pStyle w:val="NormalnyWeb"/>
        <w:spacing w:before="280" w:line="276" w:lineRule="auto"/>
        <w:ind w:left="5760"/>
      </w:pPr>
      <w:r>
        <w:t>doradca prawny SDP</w:t>
      </w:r>
    </w:p>
    <w:sectPr w:rsidR="00FC1E66">
      <w:footerReference w:type="default" r:id="rId7"/>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DB3" w:rsidRDefault="00FD1DB3" w:rsidP="001A4C1E">
      <w:pPr>
        <w:spacing w:after="0" w:line="240" w:lineRule="auto"/>
      </w:pPr>
      <w:r>
        <w:separator/>
      </w:r>
    </w:p>
  </w:endnote>
  <w:endnote w:type="continuationSeparator" w:id="0">
    <w:p w:rsidR="00FD1DB3" w:rsidRDefault="00FD1DB3" w:rsidP="001A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font>
  <w:font w:name="Mangal">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511886"/>
      <w:docPartObj>
        <w:docPartGallery w:val="Page Numbers (Bottom of Page)"/>
        <w:docPartUnique/>
      </w:docPartObj>
    </w:sdtPr>
    <w:sdtEndPr/>
    <w:sdtContent>
      <w:p w:rsidR="0017243C" w:rsidRDefault="0017243C">
        <w:pPr>
          <w:pStyle w:val="Stopka"/>
          <w:jc w:val="right"/>
        </w:pPr>
        <w:r>
          <w:fldChar w:fldCharType="begin"/>
        </w:r>
        <w:r>
          <w:instrText>PAGE   \* MERGEFORMAT</w:instrText>
        </w:r>
        <w:r>
          <w:fldChar w:fldCharType="separate"/>
        </w:r>
        <w:r w:rsidR="0023497D">
          <w:rPr>
            <w:noProof/>
          </w:rPr>
          <w:t>2</w:t>
        </w:r>
        <w:r>
          <w:fldChar w:fldCharType="end"/>
        </w:r>
      </w:p>
    </w:sdtContent>
  </w:sdt>
  <w:p w:rsidR="0017243C" w:rsidRDefault="0017243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DB3" w:rsidRDefault="00FD1DB3" w:rsidP="001A4C1E">
      <w:pPr>
        <w:spacing w:after="0" w:line="240" w:lineRule="auto"/>
      </w:pPr>
      <w:r>
        <w:separator/>
      </w:r>
    </w:p>
  </w:footnote>
  <w:footnote w:type="continuationSeparator" w:id="0">
    <w:p w:rsidR="00FD1DB3" w:rsidRDefault="00FD1DB3" w:rsidP="001A4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decimal"/>
      <w:lvlText w:val="%1."/>
      <w:lvlJc w:val="left"/>
      <w:pPr>
        <w:tabs>
          <w:tab w:val="num" w:pos="0"/>
        </w:tabs>
        <w:ind w:left="720" w:hanging="360"/>
      </w:pPr>
      <w:rPr>
        <w:rFonts w:ascii="Century Gothic" w:hAnsi="Century Gothic" w:cs="Century Gothic" w:hint="default"/>
        <w:sz w:val="22"/>
        <w:szCs w:val="22"/>
      </w:rPr>
    </w:lvl>
    <w:lvl w:ilvl="1">
      <w:start w:val="1"/>
      <w:numFmt w:val="lowerLetter"/>
      <w:lvlText w:val="%2."/>
      <w:lvlJc w:val="left"/>
      <w:pPr>
        <w:tabs>
          <w:tab w:val="num" w:pos="0"/>
        </w:tabs>
        <w:ind w:left="1440" w:hanging="360"/>
      </w:pPr>
      <w:rPr>
        <w:rFonts w:ascii="Century Gothic" w:hAnsi="Century Gothic" w:cs="Century Gothic"/>
        <w:i/>
        <w:sz w:val="22"/>
        <w:szCs w:val="22"/>
      </w:rPr>
    </w:lvl>
    <w:lvl w:ilvl="2">
      <w:start w:val="1"/>
      <w:numFmt w:val="lowerRoman"/>
      <w:lvlText w:val="%3."/>
      <w:lvlJc w:val="right"/>
      <w:pPr>
        <w:tabs>
          <w:tab w:val="num" w:pos="0"/>
        </w:tabs>
        <w:ind w:left="2160" w:hanging="180"/>
      </w:pPr>
      <w:rPr>
        <w:rFonts w:ascii="Century Gothic" w:hAnsi="Century Gothic" w:cs="Century Gothic"/>
        <w:i/>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C4"/>
    <w:rsid w:val="000269A2"/>
    <w:rsid w:val="00027ECF"/>
    <w:rsid w:val="00100992"/>
    <w:rsid w:val="00135C91"/>
    <w:rsid w:val="0017243C"/>
    <w:rsid w:val="001A4C1E"/>
    <w:rsid w:val="001F24EA"/>
    <w:rsid w:val="0023497D"/>
    <w:rsid w:val="00254E7D"/>
    <w:rsid w:val="0029315D"/>
    <w:rsid w:val="002A3F1A"/>
    <w:rsid w:val="00324C1C"/>
    <w:rsid w:val="003E3565"/>
    <w:rsid w:val="003F7A49"/>
    <w:rsid w:val="005A5E84"/>
    <w:rsid w:val="00623DE4"/>
    <w:rsid w:val="007361B9"/>
    <w:rsid w:val="007752D5"/>
    <w:rsid w:val="00B06031"/>
    <w:rsid w:val="00B1707A"/>
    <w:rsid w:val="00B17606"/>
    <w:rsid w:val="00B55721"/>
    <w:rsid w:val="00BD0934"/>
    <w:rsid w:val="00C63B11"/>
    <w:rsid w:val="00C86401"/>
    <w:rsid w:val="00C937F9"/>
    <w:rsid w:val="00CC0FF6"/>
    <w:rsid w:val="00D83AC4"/>
    <w:rsid w:val="00D92499"/>
    <w:rsid w:val="00D976DA"/>
    <w:rsid w:val="00EA4C6C"/>
    <w:rsid w:val="00F510BE"/>
    <w:rsid w:val="00FC1E66"/>
    <w:rsid w:val="00FD1D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52453-59B0-41D7-8FC7-0FB352CD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Lucida Sans Unicode" w:hAnsi="Calibri" w:cs="Calibr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114AB7"/>
    <w:rPr>
      <w:b/>
      <w:bCs/>
    </w:rPr>
  </w:style>
  <w:style w:type="character" w:customStyle="1" w:styleId="Wyrnienie">
    <w:name w:val="Wyróżnienie"/>
    <w:basedOn w:val="Domylnaczcionkaakapitu"/>
    <w:uiPriority w:val="20"/>
    <w:qFormat/>
    <w:rsid w:val="00114AB7"/>
    <w:rPr>
      <w:i/>
      <w:iCs/>
    </w:rPr>
  </w:style>
  <w:style w:type="character" w:customStyle="1" w:styleId="Tekstpodstawowywcity2Znak">
    <w:name w:val="Tekst podstawowy wcięty 2 Znak"/>
    <w:rPr>
      <w:sz w:val="24"/>
      <w:lang w:val="pl-PL" w:bidi="ar-SA"/>
    </w:rPr>
  </w:style>
  <w:style w:type="paragraph" w:styleId="Nagwek">
    <w:name w:val="header"/>
    <w:basedOn w:val="Normalny"/>
    <w:next w:val="Tretekstu"/>
    <w:pPr>
      <w:keepNext/>
      <w:spacing w:before="240" w:after="120"/>
    </w:pPr>
    <w:rPr>
      <w:rFonts w:ascii="Liberation Sans"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ormalnyWeb">
    <w:name w:val="Normal (Web)"/>
    <w:basedOn w:val="Normalny"/>
    <w:uiPriority w:val="99"/>
    <w:unhideWhenUsed/>
    <w:rsid w:val="00114AB7"/>
    <w:pPr>
      <w:spacing w:after="280"/>
    </w:pPr>
    <w:rPr>
      <w:rFonts w:ascii="Times New Roman" w:eastAsia="Times New Roman" w:hAnsi="Times New Roman" w:cs="Times New Roman"/>
      <w:sz w:val="24"/>
      <w:szCs w:val="24"/>
      <w:lang w:eastAsia="pl-PL"/>
    </w:rPr>
  </w:style>
  <w:style w:type="paragraph" w:customStyle="1" w:styleId="Default">
    <w:name w:val="Default"/>
    <w:rsid w:val="00114AB7"/>
    <w:pPr>
      <w:suppressAutoHyphens/>
      <w:spacing w:line="240" w:lineRule="auto"/>
    </w:pPr>
    <w:rPr>
      <w:rFonts w:ascii="Times New Roman" w:hAnsi="Times New Roman" w:cs="Times New Roman"/>
      <w:color w:val="000000"/>
      <w:sz w:val="24"/>
      <w:szCs w:val="24"/>
    </w:rPr>
  </w:style>
  <w:style w:type="paragraph" w:styleId="Akapitzlist">
    <w:name w:val="List Paragraph"/>
    <w:basedOn w:val="Normalny"/>
    <w:pPr>
      <w:spacing w:after="0"/>
      <w:ind w:left="720"/>
      <w:contextualSpacing/>
    </w:pPr>
    <w:rPr>
      <w:szCs w:val="20"/>
      <w:lang w:val="en-GB"/>
    </w:rPr>
  </w:style>
  <w:style w:type="character" w:customStyle="1" w:styleId="WW8Num2z0">
    <w:name w:val="WW8Num2z0"/>
    <w:rsid w:val="00EA4C6C"/>
    <w:rPr>
      <w:rFonts w:cs="Century Gothic"/>
    </w:rPr>
  </w:style>
  <w:style w:type="character" w:styleId="Hipercze">
    <w:name w:val="Hyperlink"/>
    <w:basedOn w:val="Domylnaczcionkaakapitu"/>
    <w:uiPriority w:val="99"/>
    <w:unhideWhenUsed/>
    <w:rsid w:val="00B06031"/>
    <w:rPr>
      <w:color w:val="0563C1" w:themeColor="hyperlink"/>
      <w:u w:val="single"/>
    </w:rPr>
  </w:style>
  <w:style w:type="character" w:customStyle="1" w:styleId="st">
    <w:name w:val="st"/>
    <w:basedOn w:val="Domylnaczcionkaakapitu"/>
    <w:rsid w:val="007361B9"/>
  </w:style>
  <w:style w:type="paragraph" w:styleId="Tekstprzypisudolnego">
    <w:name w:val="footnote text"/>
    <w:basedOn w:val="Normalny"/>
    <w:link w:val="TekstprzypisudolnegoZnak"/>
    <w:uiPriority w:val="99"/>
    <w:semiHidden/>
    <w:unhideWhenUsed/>
    <w:rsid w:val="001A4C1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A4C1E"/>
    <w:rPr>
      <w:sz w:val="20"/>
      <w:szCs w:val="20"/>
    </w:rPr>
  </w:style>
  <w:style w:type="character" w:styleId="Odwoanieprzypisudolnego">
    <w:name w:val="footnote reference"/>
    <w:basedOn w:val="Domylnaczcionkaakapitu"/>
    <w:uiPriority w:val="99"/>
    <w:semiHidden/>
    <w:unhideWhenUsed/>
    <w:rsid w:val="001A4C1E"/>
    <w:rPr>
      <w:vertAlign w:val="superscript"/>
    </w:rPr>
  </w:style>
  <w:style w:type="paragraph" w:styleId="Stopka">
    <w:name w:val="footer"/>
    <w:basedOn w:val="Normalny"/>
    <w:link w:val="StopkaZnak"/>
    <w:uiPriority w:val="99"/>
    <w:unhideWhenUsed/>
    <w:rsid w:val="001724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43C"/>
  </w:style>
  <w:style w:type="paragraph" w:styleId="Tekstdymka">
    <w:name w:val="Balloon Text"/>
    <w:basedOn w:val="Normalny"/>
    <w:link w:val="TekstdymkaZnak"/>
    <w:uiPriority w:val="99"/>
    <w:semiHidden/>
    <w:unhideWhenUsed/>
    <w:rsid w:val="005A5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5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4981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Częstochowa 11</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Częstochowa 11</dc:title>
  <dc:creator>media</dc:creator>
  <cp:lastModifiedBy>SDP021-JH</cp:lastModifiedBy>
  <cp:revision>2</cp:revision>
  <cp:lastPrinted>2018-07-09T16:46:00Z</cp:lastPrinted>
  <dcterms:created xsi:type="dcterms:W3CDTF">2018-07-25T16:54:00Z</dcterms:created>
  <dcterms:modified xsi:type="dcterms:W3CDTF">2018-07-25T16:54:00Z</dcterms:modified>
  <dc:language>pl-PL</dc:language>
</cp:coreProperties>
</file>